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A8" w:rsidRPr="00D70035" w:rsidRDefault="000744D3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D70035">
        <w:rPr>
          <w:color w:val="404040" w:themeColor="text1" w:themeTint="BF"/>
        </w:rPr>
        <w:t xml:space="preserve">Инструкция по применению вакцины </w:t>
      </w:r>
      <w:proofErr w:type="spellStart"/>
      <w:r w:rsidRPr="00D70035">
        <w:rPr>
          <w:rStyle w:val="StrongEmphasis"/>
          <w:b w:val="0"/>
          <w:bCs w:val="0"/>
          <w:color w:val="404040" w:themeColor="text1" w:themeTint="BF"/>
        </w:rPr>
        <w:t>Nobivac</w:t>
      </w:r>
      <w:proofErr w:type="spellEnd"/>
      <w:r w:rsidRPr="00D70035">
        <w:rPr>
          <w:rStyle w:val="StrongEmphasis"/>
          <w:b w:val="0"/>
          <w:bCs w:val="0"/>
          <w:color w:val="404040" w:themeColor="text1" w:themeTint="BF"/>
        </w:rPr>
        <w:t xml:space="preserve"> DHP</w:t>
      </w:r>
    </w:p>
    <w:p w:rsidR="00CA4FA8" w:rsidRPr="00D70035" w:rsidRDefault="00CA4FA8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CA4FA8" w:rsidRPr="00D70035" w:rsidRDefault="000744D3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D70035">
        <w:rPr>
          <w:b/>
          <w:bCs/>
          <w:color w:val="404040" w:themeColor="text1" w:themeTint="BF"/>
        </w:rPr>
        <w:t>СОСТАВ И ФОРМА ВЫПУСКА</w:t>
      </w:r>
    </w:p>
    <w:p w:rsidR="00CA4FA8" w:rsidRPr="00D70035" w:rsidRDefault="000744D3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D70035">
        <w:rPr>
          <w:color w:val="404040" w:themeColor="text1" w:themeTint="BF"/>
        </w:rPr>
        <w:t xml:space="preserve">Комбинированная живая вакцина против чумы плотоядных, инфекционного гепатита и </w:t>
      </w:r>
      <w:proofErr w:type="spellStart"/>
      <w:r w:rsidRPr="00D70035">
        <w:rPr>
          <w:color w:val="404040" w:themeColor="text1" w:themeTint="BF"/>
        </w:rPr>
        <w:t>парвовирусной</w:t>
      </w:r>
      <w:proofErr w:type="spellEnd"/>
      <w:r w:rsidRPr="00D70035">
        <w:rPr>
          <w:color w:val="404040" w:themeColor="text1" w:themeTint="BF"/>
        </w:rPr>
        <w:t xml:space="preserve"> инфекции собак. </w:t>
      </w:r>
      <w:proofErr w:type="spellStart"/>
      <w:r w:rsidRPr="00D70035">
        <w:rPr>
          <w:color w:val="404040" w:themeColor="text1" w:themeTint="BF"/>
        </w:rPr>
        <w:t>Лиофилизированная</w:t>
      </w:r>
      <w:proofErr w:type="spellEnd"/>
      <w:r w:rsidRPr="00D70035">
        <w:rPr>
          <w:color w:val="404040" w:themeColor="text1" w:themeTint="BF"/>
        </w:rPr>
        <w:t xml:space="preserve"> вакцина белого цвета. В качестве растворителя используется фосфатный буферный раствор для инъекций или одна из жидких вакцин (</w:t>
      </w:r>
      <w:proofErr w:type="spellStart"/>
      <w:r w:rsidRPr="00D70035">
        <w:rPr>
          <w:color w:val="404040" w:themeColor="text1" w:themeTint="BF"/>
        </w:rPr>
        <w:t>Нобивак</w:t>
      </w:r>
      <w:proofErr w:type="spellEnd"/>
      <w:r w:rsidRPr="00D70035">
        <w:rPr>
          <w:color w:val="404040" w:themeColor="text1" w:themeTint="BF"/>
        </w:rPr>
        <w:t xml:space="preserve"> RL или </w:t>
      </w:r>
      <w:proofErr w:type="spellStart"/>
      <w:r w:rsidRPr="00D70035">
        <w:rPr>
          <w:color w:val="404040" w:themeColor="text1" w:themeTint="BF"/>
        </w:rPr>
        <w:t>Rabies</w:t>
      </w:r>
      <w:proofErr w:type="spellEnd"/>
      <w:r w:rsidRPr="00D70035">
        <w:rPr>
          <w:color w:val="404040" w:themeColor="text1" w:themeTint="BF"/>
        </w:rPr>
        <w:t xml:space="preserve">, </w:t>
      </w:r>
      <w:proofErr w:type="spellStart"/>
      <w:proofErr w:type="gramStart"/>
      <w:r w:rsidRPr="00D70035">
        <w:rPr>
          <w:color w:val="404040" w:themeColor="text1" w:themeTint="BF"/>
        </w:rPr>
        <w:t>L</w:t>
      </w:r>
      <w:proofErr w:type="gramEnd"/>
      <w:r w:rsidRPr="00D70035">
        <w:rPr>
          <w:color w:val="404040" w:themeColor="text1" w:themeTint="BF"/>
        </w:rPr>
        <w:t>ерто</w:t>
      </w:r>
      <w:proofErr w:type="spellEnd"/>
      <w:r w:rsidRPr="00D70035">
        <w:rPr>
          <w:color w:val="404040" w:themeColor="text1" w:themeTint="BF"/>
        </w:rPr>
        <w:t xml:space="preserve">). Каждый флакон (1 доза) содержит: вируса чумы плотоядных (штамм </w:t>
      </w:r>
      <w:proofErr w:type="spellStart"/>
      <w:r w:rsidRPr="00D70035">
        <w:rPr>
          <w:color w:val="404040" w:themeColor="text1" w:themeTint="BF"/>
        </w:rPr>
        <w:t>Onderslepoort</w:t>
      </w:r>
      <w:proofErr w:type="spellEnd"/>
      <w:r w:rsidRPr="00D70035">
        <w:rPr>
          <w:color w:val="404040" w:themeColor="text1" w:themeTint="BF"/>
        </w:rPr>
        <w:t xml:space="preserve">) не </w:t>
      </w:r>
      <w:r w:rsidRPr="00D70035">
        <w:rPr>
          <w:color w:val="404040" w:themeColor="text1" w:themeTint="BF"/>
        </w:rPr>
        <w:t xml:space="preserve">менее 10 тыс. ТЦД/50, </w:t>
      </w:r>
      <w:proofErr w:type="spellStart"/>
      <w:r w:rsidRPr="00D70035">
        <w:rPr>
          <w:color w:val="404040" w:themeColor="text1" w:themeTint="BF"/>
        </w:rPr>
        <w:t>парвовируса</w:t>
      </w:r>
      <w:proofErr w:type="spellEnd"/>
      <w:r w:rsidRPr="00D70035">
        <w:rPr>
          <w:color w:val="404040" w:themeColor="text1" w:themeTint="BF"/>
        </w:rPr>
        <w:t xml:space="preserve"> собак (штамм 154) не менее 10 млн. ТЦД/50, аденовируса (штамм </w:t>
      </w:r>
      <w:proofErr w:type="spellStart"/>
      <w:r w:rsidRPr="00D70035">
        <w:rPr>
          <w:color w:val="404040" w:themeColor="text1" w:themeTint="BF"/>
        </w:rPr>
        <w:t>Manhattan</w:t>
      </w:r>
      <w:proofErr w:type="spellEnd"/>
      <w:r w:rsidRPr="00D70035">
        <w:rPr>
          <w:color w:val="404040" w:themeColor="text1" w:themeTint="BF"/>
        </w:rPr>
        <w:t xml:space="preserve"> LPV3 серотипа 2) 10 тыс. </w:t>
      </w:r>
      <w:proofErr w:type="gramStart"/>
      <w:r w:rsidRPr="00D70035">
        <w:rPr>
          <w:color w:val="404040" w:themeColor="text1" w:themeTint="BF"/>
        </w:rPr>
        <w:t>БОЕ</w:t>
      </w:r>
      <w:proofErr w:type="gramEnd"/>
      <w:r w:rsidRPr="00D70035">
        <w:rPr>
          <w:color w:val="404040" w:themeColor="text1" w:themeTint="BF"/>
        </w:rPr>
        <w:t xml:space="preserve">. Выпускается в стеклянных флаконах, герметично </w:t>
      </w:r>
      <w:proofErr w:type="gramStart"/>
      <w:r w:rsidRPr="00D70035">
        <w:rPr>
          <w:color w:val="404040" w:themeColor="text1" w:themeTint="BF"/>
        </w:rPr>
        <w:t>укупоренные</w:t>
      </w:r>
      <w:proofErr w:type="gramEnd"/>
      <w:r w:rsidRPr="00D70035">
        <w:rPr>
          <w:color w:val="404040" w:themeColor="text1" w:themeTint="BF"/>
        </w:rPr>
        <w:t xml:space="preserve"> резиновыми пробками и обкатанные алюминиевыми колпачками. Выпу</w:t>
      </w:r>
      <w:r w:rsidRPr="00D70035">
        <w:rPr>
          <w:color w:val="404040" w:themeColor="text1" w:themeTint="BF"/>
        </w:rPr>
        <w:t>скается в коробках, содержащих 10 флаконов по 1 дозе</w:t>
      </w:r>
    </w:p>
    <w:p w:rsidR="00CA4FA8" w:rsidRPr="00D70035" w:rsidRDefault="000744D3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D70035">
        <w:rPr>
          <w:color w:val="404040" w:themeColor="text1" w:themeTint="BF"/>
        </w:rPr>
        <w:br/>
      </w:r>
      <w:r w:rsidRPr="00D70035">
        <w:rPr>
          <w:b/>
          <w:bCs/>
          <w:color w:val="404040" w:themeColor="text1" w:themeTint="BF"/>
        </w:rPr>
        <w:t>ДОЗЫ И СПОСОБ ПРИМЕНЕНИЯ</w:t>
      </w:r>
    </w:p>
    <w:p w:rsidR="00CA4FA8" w:rsidRPr="00D70035" w:rsidRDefault="000744D3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D70035">
        <w:rPr>
          <w:color w:val="404040" w:themeColor="text1" w:themeTint="BF"/>
        </w:rPr>
        <w:t xml:space="preserve">Прививают только клинически здоровых собак в возрасте 8-9 недель с последующей вакцинацией в 12 недель. Подкожно, предварительно полностью растворив в одной дозе жидкой вакцины </w:t>
      </w:r>
      <w:r w:rsidRPr="00D70035">
        <w:rPr>
          <w:color w:val="404040" w:themeColor="text1" w:themeTint="BF"/>
        </w:rPr>
        <w:t xml:space="preserve">или в фосфатно-буферном растворителе. Рекомендуется проводить ежегодную ревакцинацию животных одной дозой вакцины. Использование </w:t>
      </w:r>
      <w:proofErr w:type="spellStart"/>
      <w:r w:rsidRPr="00D70035">
        <w:rPr>
          <w:color w:val="404040" w:themeColor="text1" w:themeTint="BF"/>
        </w:rPr>
        <w:t>Нобивак</w:t>
      </w:r>
      <w:proofErr w:type="spellEnd"/>
      <w:r w:rsidRPr="00D70035">
        <w:rPr>
          <w:color w:val="404040" w:themeColor="text1" w:themeTint="BF"/>
        </w:rPr>
        <w:t xml:space="preserve"> DHP является частью комплексной программы эффективной вакцинации собак. У привитых животных индуцируется высокий титр с</w:t>
      </w:r>
      <w:r w:rsidRPr="00D70035">
        <w:rPr>
          <w:color w:val="404040" w:themeColor="text1" w:themeTint="BF"/>
        </w:rPr>
        <w:t xml:space="preserve">пецифических антител к вирусам чумы плотоядных, гепатита (аденовируса собак серотипа 2) и </w:t>
      </w:r>
      <w:proofErr w:type="spellStart"/>
      <w:r w:rsidRPr="00D70035">
        <w:rPr>
          <w:color w:val="404040" w:themeColor="text1" w:themeTint="BF"/>
        </w:rPr>
        <w:t>парвовируса</w:t>
      </w:r>
      <w:proofErr w:type="spellEnd"/>
      <w:r w:rsidRPr="00D70035">
        <w:rPr>
          <w:color w:val="404040" w:themeColor="text1" w:themeTint="BF"/>
        </w:rPr>
        <w:t xml:space="preserve"> собак.</w:t>
      </w:r>
    </w:p>
    <w:p w:rsidR="00CA4FA8" w:rsidRPr="00D70035" w:rsidRDefault="000744D3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D70035">
        <w:rPr>
          <w:color w:val="404040" w:themeColor="text1" w:themeTint="BF"/>
        </w:rPr>
        <w:br/>
      </w:r>
      <w:r w:rsidRPr="00D70035">
        <w:rPr>
          <w:b/>
          <w:bCs/>
          <w:color w:val="404040" w:themeColor="text1" w:themeTint="BF"/>
        </w:rPr>
        <w:t>ПРОТИВОПОКАЗАНИЯ</w:t>
      </w:r>
      <w:proofErr w:type="gramStart"/>
      <w:r w:rsidRPr="00D70035">
        <w:rPr>
          <w:color w:val="404040" w:themeColor="text1" w:themeTint="BF"/>
        </w:rPr>
        <w:t xml:space="preserve"> </w:t>
      </w:r>
      <w:r w:rsidRPr="00D70035">
        <w:rPr>
          <w:color w:val="404040" w:themeColor="text1" w:themeTint="BF"/>
        </w:rPr>
        <w:br/>
      </w:r>
      <w:r w:rsidRPr="00D70035">
        <w:rPr>
          <w:color w:val="404040" w:themeColor="text1" w:themeTint="BF"/>
        </w:rPr>
        <w:t>П</w:t>
      </w:r>
      <w:proofErr w:type="gramEnd"/>
      <w:r w:rsidRPr="00D70035">
        <w:rPr>
          <w:color w:val="404040" w:themeColor="text1" w:themeTint="BF"/>
        </w:rPr>
        <w:t>ри применении в соответствии с инструкцией нет. Вакцина безопасна для беременных собак.</w:t>
      </w:r>
    </w:p>
    <w:p w:rsidR="00CA4FA8" w:rsidRPr="00D70035" w:rsidRDefault="00CA4FA8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CA4FA8" w:rsidRPr="00D70035" w:rsidRDefault="000744D3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D70035">
        <w:rPr>
          <w:b/>
          <w:bCs/>
          <w:color w:val="404040" w:themeColor="text1" w:themeTint="BF"/>
        </w:rPr>
        <w:t>ОСОБЫЕ УКАЗАНИЯ</w:t>
      </w:r>
    </w:p>
    <w:p w:rsidR="00CA4FA8" w:rsidRPr="00D70035" w:rsidRDefault="000744D3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D70035">
        <w:rPr>
          <w:color w:val="404040" w:themeColor="text1" w:themeTint="BF"/>
        </w:rPr>
        <w:t>Прививают только здоро</w:t>
      </w:r>
      <w:r w:rsidRPr="00D70035">
        <w:rPr>
          <w:color w:val="404040" w:themeColor="text1" w:themeTint="BF"/>
        </w:rPr>
        <w:t>вых собак. Реакции гиперчувствительности после применения вакцины случаются редко, но возможны, как и при использовании, любой белок содержащей субстанции. В этом случае показано подкожное введение адреналина.</w:t>
      </w:r>
    </w:p>
    <w:p w:rsidR="00CA4FA8" w:rsidRPr="00D70035" w:rsidRDefault="000744D3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D70035">
        <w:rPr>
          <w:b/>
          <w:bCs/>
          <w:color w:val="404040" w:themeColor="text1" w:themeTint="BF"/>
        </w:rPr>
        <w:br/>
      </w:r>
      <w:r w:rsidRPr="00D70035">
        <w:rPr>
          <w:b/>
          <w:bCs/>
          <w:color w:val="404040" w:themeColor="text1" w:themeTint="BF"/>
        </w:rPr>
        <w:t>УСЛОВИЯ ХРАНЕНИЯ</w:t>
      </w:r>
    </w:p>
    <w:p w:rsidR="00CA4FA8" w:rsidRPr="00D70035" w:rsidRDefault="000744D3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D70035">
        <w:rPr>
          <w:color w:val="404040" w:themeColor="text1" w:themeTint="BF"/>
        </w:rPr>
        <w:t>Вакцину хранят в тёмном мест</w:t>
      </w:r>
      <w:r w:rsidRPr="00D70035">
        <w:rPr>
          <w:color w:val="404040" w:themeColor="text1" w:themeTint="BF"/>
        </w:rPr>
        <w:t>е при температуре от 2</w:t>
      </w:r>
      <w:proofErr w:type="gramStart"/>
      <w:r w:rsidRPr="00D70035">
        <w:rPr>
          <w:color w:val="404040" w:themeColor="text1" w:themeTint="BF"/>
        </w:rPr>
        <w:t>°С</w:t>
      </w:r>
      <w:proofErr w:type="gramEnd"/>
      <w:r w:rsidRPr="00D70035">
        <w:rPr>
          <w:color w:val="404040" w:themeColor="text1" w:themeTint="BF"/>
        </w:rPr>
        <w:t xml:space="preserve"> до 8°С, растворитель (фосфатный буфер) может храниться при температуре от 18°С до 23°С. Срок годности вакцины 2 года со дня выпуска.</w:t>
      </w:r>
    </w:p>
    <w:p w:rsidR="00CA4FA8" w:rsidRPr="00D70035" w:rsidRDefault="000744D3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70035">
        <w:rPr>
          <w:rStyle w:val="StrongEmphasis"/>
          <w:color w:val="404040" w:themeColor="text1" w:themeTint="BF"/>
        </w:rPr>
        <w:lastRenderedPageBreak/>
        <w:t>ПРОИЗВОДИТЕЛЬ</w:t>
      </w:r>
    </w:p>
    <w:p w:rsidR="00CA4FA8" w:rsidRPr="00D70035" w:rsidRDefault="000744D3">
      <w:pPr>
        <w:pStyle w:val="Textbody"/>
        <w:spacing w:after="0" w:line="360" w:lineRule="auto"/>
        <w:jc w:val="both"/>
        <w:rPr>
          <w:color w:val="404040" w:themeColor="text1" w:themeTint="BF"/>
        </w:rPr>
      </w:pPr>
      <w:proofErr w:type="spellStart"/>
      <w:r w:rsidRPr="00D70035">
        <w:rPr>
          <w:color w:val="404040" w:themeColor="text1" w:themeTint="BF"/>
        </w:rPr>
        <w:t>Интервет</w:t>
      </w:r>
      <w:proofErr w:type="spellEnd"/>
      <w:r w:rsidRPr="00D70035">
        <w:rPr>
          <w:color w:val="404040" w:themeColor="text1" w:themeTint="BF"/>
        </w:rPr>
        <w:t xml:space="preserve"> </w:t>
      </w:r>
      <w:proofErr w:type="spellStart"/>
      <w:r w:rsidRPr="00D70035">
        <w:rPr>
          <w:color w:val="404040" w:themeColor="text1" w:themeTint="BF"/>
        </w:rPr>
        <w:t>Шеринг-Плау</w:t>
      </w:r>
      <w:proofErr w:type="spellEnd"/>
      <w:r w:rsidRPr="00D70035">
        <w:rPr>
          <w:color w:val="404040" w:themeColor="text1" w:themeTint="BF"/>
        </w:rPr>
        <w:t xml:space="preserve"> </w:t>
      </w:r>
      <w:proofErr w:type="spellStart"/>
      <w:r w:rsidRPr="00D70035">
        <w:rPr>
          <w:color w:val="404040" w:themeColor="text1" w:themeTint="BF"/>
        </w:rPr>
        <w:t>Энимал</w:t>
      </w:r>
      <w:proofErr w:type="spellEnd"/>
      <w:r w:rsidRPr="00D70035">
        <w:rPr>
          <w:color w:val="404040" w:themeColor="text1" w:themeTint="BF"/>
        </w:rPr>
        <w:t xml:space="preserve"> </w:t>
      </w:r>
      <w:proofErr w:type="spellStart"/>
      <w:r w:rsidRPr="00D70035">
        <w:rPr>
          <w:color w:val="404040" w:themeColor="text1" w:themeTint="BF"/>
        </w:rPr>
        <w:t>Хелс</w:t>
      </w:r>
      <w:proofErr w:type="spellEnd"/>
      <w:r w:rsidRPr="00D70035">
        <w:rPr>
          <w:color w:val="404040" w:themeColor="text1" w:themeTint="BF"/>
        </w:rPr>
        <w:t xml:space="preserve"> (</w:t>
      </w:r>
      <w:proofErr w:type="spellStart"/>
      <w:r w:rsidRPr="00D70035">
        <w:rPr>
          <w:color w:val="404040" w:themeColor="text1" w:themeTint="BF"/>
        </w:rPr>
        <w:t>Intervet</w:t>
      </w:r>
      <w:proofErr w:type="spellEnd"/>
      <w:r w:rsidRPr="00D70035">
        <w:rPr>
          <w:color w:val="404040" w:themeColor="text1" w:themeTint="BF"/>
        </w:rPr>
        <w:t xml:space="preserve"> </w:t>
      </w:r>
      <w:proofErr w:type="spellStart"/>
      <w:r w:rsidRPr="00D70035">
        <w:rPr>
          <w:color w:val="404040" w:themeColor="text1" w:themeTint="BF"/>
        </w:rPr>
        <w:t>Schering-Plough</w:t>
      </w:r>
      <w:proofErr w:type="spellEnd"/>
      <w:r w:rsidRPr="00D70035">
        <w:rPr>
          <w:color w:val="404040" w:themeColor="text1" w:themeTint="BF"/>
        </w:rPr>
        <w:t xml:space="preserve"> </w:t>
      </w:r>
      <w:proofErr w:type="spellStart"/>
      <w:r w:rsidRPr="00D70035">
        <w:rPr>
          <w:color w:val="404040" w:themeColor="text1" w:themeTint="BF"/>
        </w:rPr>
        <w:t>Animal</w:t>
      </w:r>
      <w:proofErr w:type="spellEnd"/>
      <w:r w:rsidRPr="00D70035">
        <w:rPr>
          <w:color w:val="404040" w:themeColor="text1" w:themeTint="BF"/>
        </w:rPr>
        <w:t xml:space="preserve"> </w:t>
      </w:r>
      <w:proofErr w:type="spellStart"/>
      <w:r w:rsidRPr="00D70035">
        <w:rPr>
          <w:color w:val="404040" w:themeColor="text1" w:themeTint="BF"/>
        </w:rPr>
        <w:t>Health</w:t>
      </w:r>
      <w:proofErr w:type="spellEnd"/>
      <w:r w:rsidRPr="00D70035">
        <w:rPr>
          <w:color w:val="404040" w:themeColor="text1" w:themeTint="BF"/>
        </w:rPr>
        <w:t>), Нидерлан</w:t>
      </w:r>
      <w:r w:rsidRPr="00D70035">
        <w:rPr>
          <w:color w:val="404040" w:themeColor="text1" w:themeTint="BF"/>
        </w:rPr>
        <w:t>ды.</w:t>
      </w:r>
    </w:p>
    <w:p w:rsidR="00CA4FA8" w:rsidRPr="00D70035" w:rsidRDefault="00CA4FA8">
      <w:pPr>
        <w:pStyle w:val="Standard"/>
        <w:spacing w:line="360" w:lineRule="auto"/>
        <w:jc w:val="both"/>
        <w:rPr>
          <w:color w:val="404040" w:themeColor="text1" w:themeTint="BF"/>
        </w:rPr>
      </w:pPr>
    </w:p>
    <w:sectPr w:rsidR="00CA4FA8" w:rsidRPr="00D70035" w:rsidSect="00CA4F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D3" w:rsidRDefault="000744D3" w:rsidP="00CA4FA8">
      <w:r>
        <w:separator/>
      </w:r>
    </w:p>
  </w:endnote>
  <w:endnote w:type="continuationSeparator" w:id="0">
    <w:p w:rsidR="000744D3" w:rsidRDefault="000744D3" w:rsidP="00CA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D3" w:rsidRDefault="000744D3" w:rsidP="00CA4FA8">
      <w:r w:rsidRPr="00CA4FA8">
        <w:rPr>
          <w:color w:val="000000"/>
        </w:rPr>
        <w:separator/>
      </w:r>
    </w:p>
  </w:footnote>
  <w:footnote w:type="continuationSeparator" w:id="0">
    <w:p w:rsidR="000744D3" w:rsidRDefault="000744D3" w:rsidP="00CA4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FA8"/>
    <w:rsid w:val="000744D3"/>
    <w:rsid w:val="00CA4FA8"/>
    <w:rsid w:val="00D7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FA8"/>
  </w:style>
  <w:style w:type="paragraph" w:customStyle="1" w:styleId="Heading">
    <w:name w:val="Heading"/>
    <w:basedOn w:val="Standard"/>
    <w:next w:val="Textbody"/>
    <w:rsid w:val="00CA4FA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A4FA8"/>
    <w:pPr>
      <w:spacing w:after="120"/>
    </w:pPr>
  </w:style>
  <w:style w:type="paragraph" w:styleId="a3">
    <w:name w:val="List"/>
    <w:basedOn w:val="Textbody"/>
    <w:rsid w:val="00CA4FA8"/>
  </w:style>
  <w:style w:type="paragraph" w:customStyle="1" w:styleId="Caption">
    <w:name w:val="Caption"/>
    <w:basedOn w:val="Standard"/>
    <w:rsid w:val="00CA4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4FA8"/>
    <w:pPr>
      <w:suppressLineNumbers/>
    </w:pPr>
  </w:style>
  <w:style w:type="character" w:customStyle="1" w:styleId="StrongEmphasis">
    <w:name w:val="Strong Emphasis"/>
    <w:rsid w:val="00CA4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Company>Krokoz™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2012-03-12T20:17:00Z</dcterms:created>
  <dcterms:modified xsi:type="dcterms:W3CDTF">2013-03-04T14:38:00Z</dcterms:modified>
</cp:coreProperties>
</file>