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4C" w:rsidRPr="00940E1B" w:rsidRDefault="00E46AD7">
      <w:pPr>
        <w:pStyle w:val="Standard"/>
        <w:spacing w:line="360" w:lineRule="auto"/>
        <w:jc w:val="both"/>
        <w:rPr>
          <w:color w:val="595959" w:themeColor="text1" w:themeTint="A6"/>
        </w:rPr>
      </w:pPr>
      <w:r w:rsidRPr="00940E1B">
        <w:rPr>
          <w:color w:val="595959" w:themeColor="text1" w:themeTint="A6"/>
        </w:rPr>
        <w:t xml:space="preserve">Инструкция по применению вакцины </w:t>
      </w:r>
      <w:proofErr w:type="spellStart"/>
      <w:r w:rsidRPr="00940E1B">
        <w:rPr>
          <w:rStyle w:val="StrongEmphasis"/>
          <w:b w:val="0"/>
          <w:bCs w:val="0"/>
          <w:color w:val="595959" w:themeColor="text1" w:themeTint="A6"/>
        </w:rPr>
        <w:t>Nobivac</w:t>
      </w:r>
      <w:proofErr w:type="spellEnd"/>
      <w:r w:rsidRPr="00940E1B">
        <w:rPr>
          <w:rStyle w:val="StrongEmphasis"/>
          <w:b w:val="0"/>
          <w:bCs w:val="0"/>
          <w:color w:val="595959" w:themeColor="text1" w:themeTint="A6"/>
        </w:rPr>
        <w:t xml:space="preserve"> RL</w:t>
      </w:r>
    </w:p>
    <w:p w:rsidR="0058394C" w:rsidRPr="00940E1B" w:rsidRDefault="0058394C">
      <w:pPr>
        <w:pStyle w:val="Textbody"/>
        <w:spacing w:line="360" w:lineRule="auto"/>
        <w:jc w:val="both"/>
        <w:rPr>
          <w:color w:val="595959" w:themeColor="text1" w:themeTint="A6"/>
        </w:rPr>
      </w:pPr>
    </w:p>
    <w:p w:rsidR="0058394C" w:rsidRPr="00940E1B" w:rsidRDefault="00E46AD7">
      <w:pPr>
        <w:pStyle w:val="Textbody"/>
        <w:spacing w:line="360" w:lineRule="auto"/>
        <w:jc w:val="both"/>
        <w:rPr>
          <w:color w:val="595959" w:themeColor="text1" w:themeTint="A6"/>
        </w:rPr>
      </w:pPr>
      <w:r w:rsidRPr="00940E1B">
        <w:rPr>
          <w:rStyle w:val="StrongEmphasis"/>
          <w:color w:val="595959" w:themeColor="text1" w:themeTint="A6"/>
        </w:rPr>
        <w:t>СОСТАВ И ФОРМА ВЫПУСКА</w:t>
      </w:r>
    </w:p>
    <w:p w:rsidR="0058394C" w:rsidRPr="00940E1B" w:rsidRDefault="00E46AD7">
      <w:pPr>
        <w:pStyle w:val="Textbody"/>
        <w:spacing w:after="0" w:line="360" w:lineRule="auto"/>
        <w:jc w:val="both"/>
        <w:rPr>
          <w:color w:val="595959" w:themeColor="text1" w:themeTint="A6"/>
        </w:rPr>
      </w:pPr>
      <w:r w:rsidRPr="00940E1B">
        <w:rPr>
          <w:color w:val="595959" w:themeColor="text1" w:themeTint="A6"/>
        </w:rPr>
        <w:t xml:space="preserve">Комбинированная инактивированная вакцина в одной дозе (1 мл) содержит не менее 2МЕ вируса бешенства штамма </w:t>
      </w:r>
      <w:proofErr w:type="spellStart"/>
      <w:r w:rsidRPr="00940E1B">
        <w:rPr>
          <w:color w:val="595959" w:themeColor="text1" w:themeTint="A6"/>
        </w:rPr>
        <w:t>Пастер-РИВ</w:t>
      </w:r>
      <w:proofErr w:type="spellEnd"/>
      <w:r w:rsidRPr="00940E1B">
        <w:rPr>
          <w:color w:val="595959" w:themeColor="text1" w:themeTint="A6"/>
        </w:rPr>
        <w:t xml:space="preserve">, </w:t>
      </w:r>
      <w:r w:rsidRPr="00940E1B">
        <w:rPr>
          <w:color w:val="595959" w:themeColor="text1" w:themeTint="A6"/>
        </w:rPr>
        <w:t>не менее 2х10</w:t>
      </w:r>
      <w:r w:rsidRPr="00940E1B">
        <w:rPr>
          <w:color w:val="595959" w:themeColor="text1" w:themeTint="A6"/>
          <w:position w:val="8"/>
        </w:rPr>
        <w:t>8</w:t>
      </w:r>
      <w:r w:rsidRPr="00940E1B">
        <w:rPr>
          <w:color w:val="595959" w:themeColor="text1" w:themeTint="A6"/>
        </w:rPr>
        <w:t xml:space="preserve"> микробных клеток </w:t>
      </w:r>
      <w:proofErr w:type="spellStart"/>
      <w:r w:rsidRPr="00940E1B">
        <w:rPr>
          <w:rStyle w:val="a4"/>
          <w:color w:val="595959" w:themeColor="text1" w:themeTint="A6"/>
        </w:rPr>
        <w:t>Leptospira</w:t>
      </w:r>
      <w:proofErr w:type="spellEnd"/>
      <w:r w:rsidRPr="00940E1B">
        <w:rPr>
          <w:rStyle w:val="a4"/>
          <w:color w:val="595959" w:themeColor="text1" w:themeTint="A6"/>
        </w:rPr>
        <w:t xml:space="preserve"> </w:t>
      </w:r>
      <w:proofErr w:type="spellStart"/>
      <w:r w:rsidRPr="00940E1B">
        <w:rPr>
          <w:rStyle w:val="a4"/>
          <w:color w:val="595959" w:themeColor="text1" w:themeTint="A6"/>
        </w:rPr>
        <w:t>canicola</w:t>
      </w:r>
      <w:proofErr w:type="spellEnd"/>
      <w:r w:rsidRPr="00940E1B">
        <w:rPr>
          <w:color w:val="595959" w:themeColor="text1" w:themeTint="A6"/>
        </w:rPr>
        <w:t xml:space="preserve"> (штамм Са-12-000) и 2х10</w:t>
      </w:r>
      <w:r w:rsidRPr="00940E1B">
        <w:rPr>
          <w:color w:val="595959" w:themeColor="text1" w:themeTint="A6"/>
          <w:position w:val="8"/>
        </w:rPr>
        <w:t>8</w:t>
      </w:r>
      <w:r w:rsidRPr="00940E1B">
        <w:rPr>
          <w:color w:val="595959" w:themeColor="text1" w:themeTint="A6"/>
        </w:rPr>
        <w:t xml:space="preserve"> </w:t>
      </w:r>
      <w:proofErr w:type="spellStart"/>
      <w:r w:rsidRPr="00940E1B">
        <w:rPr>
          <w:rStyle w:val="a4"/>
          <w:color w:val="595959" w:themeColor="text1" w:themeTint="A6"/>
        </w:rPr>
        <w:t>Leptospira</w:t>
      </w:r>
      <w:proofErr w:type="spellEnd"/>
      <w:r w:rsidRPr="00940E1B">
        <w:rPr>
          <w:rStyle w:val="a4"/>
          <w:color w:val="595959" w:themeColor="text1" w:themeTint="A6"/>
        </w:rPr>
        <w:t xml:space="preserve"> </w:t>
      </w:r>
      <w:proofErr w:type="spellStart"/>
      <w:r w:rsidRPr="00940E1B">
        <w:rPr>
          <w:rStyle w:val="a4"/>
          <w:color w:val="595959" w:themeColor="text1" w:themeTint="A6"/>
        </w:rPr>
        <w:t>icterohaemorrhagiae</w:t>
      </w:r>
      <w:proofErr w:type="spellEnd"/>
      <w:r w:rsidRPr="00940E1B">
        <w:rPr>
          <w:color w:val="595959" w:themeColor="text1" w:themeTint="A6"/>
        </w:rPr>
        <w:t xml:space="preserve"> (штамм 820К), а также адъювант — фосфат алюминия. По внешнему виду представляет собой суспензию розовато-бежевого или кремового цвета с белым осадк</w:t>
      </w:r>
      <w:r w:rsidRPr="00940E1B">
        <w:rPr>
          <w:color w:val="595959" w:themeColor="text1" w:themeTint="A6"/>
        </w:rPr>
        <w:t>ом. Препарат расфасовывают в стеклянные флаконы по 1 мл и упаковывают по 10 штук в картонную коробку.</w:t>
      </w:r>
    </w:p>
    <w:p w:rsidR="0058394C" w:rsidRPr="00940E1B" w:rsidRDefault="0058394C">
      <w:pPr>
        <w:pStyle w:val="Textbody"/>
        <w:spacing w:after="0" w:line="360" w:lineRule="auto"/>
        <w:jc w:val="both"/>
        <w:rPr>
          <w:color w:val="595959" w:themeColor="text1" w:themeTint="A6"/>
        </w:rPr>
      </w:pPr>
    </w:p>
    <w:p w:rsidR="0058394C" w:rsidRPr="00940E1B" w:rsidRDefault="00E46AD7">
      <w:pPr>
        <w:pStyle w:val="Textbody"/>
        <w:spacing w:after="0" w:line="360" w:lineRule="auto"/>
        <w:jc w:val="both"/>
        <w:rPr>
          <w:color w:val="595959" w:themeColor="text1" w:themeTint="A6"/>
        </w:rPr>
      </w:pPr>
      <w:r w:rsidRPr="00940E1B">
        <w:rPr>
          <w:rStyle w:val="StrongEmphasis"/>
          <w:color w:val="595959" w:themeColor="text1" w:themeTint="A6"/>
        </w:rPr>
        <w:t>ФАРМАКОЛОГИЧЕСКИЕ СВОЙСТВА</w:t>
      </w:r>
    </w:p>
    <w:p w:rsidR="0058394C" w:rsidRPr="00940E1B" w:rsidRDefault="00E46AD7">
      <w:pPr>
        <w:pStyle w:val="Textbody"/>
        <w:spacing w:after="0" w:line="360" w:lineRule="auto"/>
        <w:jc w:val="both"/>
        <w:rPr>
          <w:color w:val="595959" w:themeColor="text1" w:themeTint="A6"/>
        </w:rPr>
      </w:pPr>
      <w:r w:rsidRPr="00940E1B">
        <w:rPr>
          <w:color w:val="595959" w:themeColor="text1" w:themeTint="A6"/>
        </w:rPr>
        <w:t>Вакцина индуцирует выработку специфических антител к возбудителям лептоспироза и бешенства у собак в течение 14 – 21 дня после</w:t>
      </w:r>
      <w:r w:rsidRPr="00940E1B">
        <w:rPr>
          <w:color w:val="595959" w:themeColor="text1" w:themeTint="A6"/>
        </w:rPr>
        <w:t xml:space="preserve"> повторной инъекции. Напряжённость иммунитета составляет 3 года против бешенства и 1 год против лептоспироза, после чего проводят повторную иммунизацию.</w:t>
      </w:r>
    </w:p>
    <w:p w:rsidR="0058394C" w:rsidRPr="00940E1B" w:rsidRDefault="0058394C">
      <w:pPr>
        <w:pStyle w:val="Textbody"/>
        <w:spacing w:after="0" w:line="360" w:lineRule="auto"/>
        <w:jc w:val="both"/>
        <w:rPr>
          <w:color w:val="595959" w:themeColor="text1" w:themeTint="A6"/>
        </w:rPr>
      </w:pPr>
    </w:p>
    <w:p w:rsidR="0058394C" w:rsidRPr="00940E1B" w:rsidRDefault="00E46AD7">
      <w:pPr>
        <w:pStyle w:val="Textbody"/>
        <w:spacing w:after="0" w:line="360" w:lineRule="auto"/>
        <w:jc w:val="both"/>
        <w:rPr>
          <w:color w:val="595959" w:themeColor="text1" w:themeTint="A6"/>
        </w:rPr>
      </w:pPr>
      <w:r w:rsidRPr="00940E1B">
        <w:rPr>
          <w:rStyle w:val="StrongEmphasis"/>
          <w:color w:val="595959" w:themeColor="text1" w:themeTint="A6"/>
        </w:rPr>
        <w:t>ПОКАЗАНИЯ</w:t>
      </w:r>
    </w:p>
    <w:p w:rsidR="0058394C" w:rsidRPr="00940E1B" w:rsidRDefault="00E46AD7">
      <w:pPr>
        <w:pStyle w:val="Textbody"/>
        <w:spacing w:after="0" w:line="360" w:lineRule="auto"/>
        <w:jc w:val="both"/>
        <w:rPr>
          <w:color w:val="595959" w:themeColor="text1" w:themeTint="A6"/>
        </w:rPr>
      </w:pPr>
      <w:r w:rsidRPr="00940E1B">
        <w:rPr>
          <w:color w:val="595959" w:themeColor="text1" w:themeTint="A6"/>
        </w:rPr>
        <w:t xml:space="preserve">Назначают собакам в целях специфической профилактики лептоспироза (в т.ч. </w:t>
      </w:r>
      <w:proofErr w:type="spellStart"/>
      <w:r w:rsidRPr="00940E1B">
        <w:rPr>
          <w:color w:val="595959" w:themeColor="text1" w:themeTint="A6"/>
        </w:rPr>
        <w:t>лептоспироноситель</w:t>
      </w:r>
      <w:r w:rsidRPr="00940E1B">
        <w:rPr>
          <w:color w:val="595959" w:themeColor="text1" w:themeTint="A6"/>
        </w:rPr>
        <w:t>ства</w:t>
      </w:r>
      <w:proofErr w:type="spellEnd"/>
      <w:r w:rsidRPr="00940E1B">
        <w:rPr>
          <w:color w:val="595959" w:themeColor="text1" w:themeTint="A6"/>
        </w:rPr>
        <w:t>) и бешенства в общей схеме вакцинации животного.</w:t>
      </w:r>
    </w:p>
    <w:p w:rsidR="0058394C" w:rsidRPr="00940E1B" w:rsidRDefault="0058394C">
      <w:pPr>
        <w:pStyle w:val="Textbody"/>
        <w:spacing w:after="0" w:line="360" w:lineRule="auto"/>
        <w:jc w:val="both"/>
        <w:rPr>
          <w:color w:val="595959" w:themeColor="text1" w:themeTint="A6"/>
        </w:rPr>
      </w:pPr>
    </w:p>
    <w:p w:rsidR="0058394C" w:rsidRPr="00940E1B" w:rsidRDefault="00E46AD7">
      <w:pPr>
        <w:pStyle w:val="Textbody"/>
        <w:spacing w:after="0" w:line="360" w:lineRule="auto"/>
        <w:jc w:val="both"/>
        <w:rPr>
          <w:color w:val="595959" w:themeColor="text1" w:themeTint="A6"/>
        </w:rPr>
      </w:pPr>
      <w:r w:rsidRPr="00940E1B">
        <w:rPr>
          <w:rStyle w:val="StrongEmphasis"/>
          <w:color w:val="595959" w:themeColor="text1" w:themeTint="A6"/>
        </w:rPr>
        <w:t>ДОЗЫ И СПОСОБ ПРИМЕНЕНИЯ</w:t>
      </w:r>
    </w:p>
    <w:p w:rsidR="0058394C" w:rsidRPr="00940E1B" w:rsidRDefault="00E46AD7">
      <w:pPr>
        <w:pStyle w:val="Textbody"/>
        <w:spacing w:after="0" w:line="360" w:lineRule="auto"/>
        <w:jc w:val="both"/>
        <w:rPr>
          <w:color w:val="595959" w:themeColor="text1" w:themeTint="A6"/>
        </w:rPr>
      </w:pPr>
      <w:r w:rsidRPr="00940E1B">
        <w:rPr>
          <w:color w:val="595959" w:themeColor="text1" w:themeTint="A6"/>
        </w:rPr>
        <w:t>Перед иммунизацией флаконы с вакциной интенсивно встряхивают и вводят животному подкожно в область шеи или лопатки. Для каждого животного используют отдельную стерильную иглу и</w:t>
      </w:r>
      <w:r w:rsidRPr="00940E1B">
        <w:rPr>
          <w:color w:val="595959" w:themeColor="text1" w:themeTint="A6"/>
        </w:rPr>
        <w:t xml:space="preserve"> шприцы. Щенков прививают вакциной </w:t>
      </w:r>
      <w:proofErr w:type="spellStart"/>
      <w:r w:rsidRPr="00940E1B">
        <w:rPr>
          <w:color w:val="595959" w:themeColor="text1" w:themeTint="A6"/>
        </w:rPr>
        <w:t>Нобивак</w:t>
      </w:r>
      <w:proofErr w:type="spellEnd"/>
      <w:r w:rsidRPr="00940E1B">
        <w:rPr>
          <w:color w:val="595959" w:themeColor="text1" w:themeTint="A6"/>
        </w:rPr>
        <w:t xml:space="preserve"> RL с 8 – 9-месячного возраста, а через 2 – 3 недели — </w:t>
      </w:r>
      <w:proofErr w:type="spellStart"/>
      <w:r w:rsidRPr="00940E1B">
        <w:rPr>
          <w:color w:val="595959" w:themeColor="text1" w:themeTint="A6"/>
        </w:rPr>
        <w:t>Нобивак</w:t>
      </w:r>
      <w:proofErr w:type="spellEnd"/>
      <w:r w:rsidRPr="00940E1B">
        <w:rPr>
          <w:color w:val="595959" w:themeColor="text1" w:themeTint="A6"/>
        </w:rPr>
        <w:t xml:space="preserve"> </w:t>
      </w:r>
      <w:proofErr w:type="spellStart"/>
      <w:r w:rsidRPr="00940E1B">
        <w:rPr>
          <w:color w:val="595959" w:themeColor="text1" w:themeTint="A6"/>
        </w:rPr>
        <w:t>Лепто</w:t>
      </w:r>
      <w:proofErr w:type="spellEnd"/>
      <w:r w:rsidRPr="00940E1B">
        <w:rPr>
          <w:color w:val="595959" w:themeColor="text1" w:themeTint="A6"/>
        </w:rPr>
        <w:t>. Взрослых, ранее не вакцинированных собак иммунизируют двукратно с интервалом 2 – 3 недели. Ревакцинацию проводят ежегодно в дозе 1 мл. Допускает</w:t>
      </w:r>
      <w:r w:rsidRPr="00940E1B">
        <w:rPr>
          <w:color w:val="595959" w:themeColor="text1" w:themeTint="A6"/>
        </w:rPr>
        <w:t xml:space="preserve">ся применение вакцины </w:t>
      </w:r>
      <w:proofErr w:type="spellStart"/>
      <w:r w:rsidRPr="00940E1B">
        <w:rPr>
          <w:color w:val="595959" w:themeColor="text1" w:themeTint="A6"/>
        </w:rPr>
        <w:t>Нобивак</w:t>
      </w:r>
      <w:proofErr w:type="spellEnd"/>
      <w:r w:rsidRPr="00940E1B">
        <w:rPr>
          <w:color w:val="595959" w:themeColor="text1" w:themeTint="A6"/>
        </w:rPr>
        <w:t xml:space="preserve"> RL в качестве растворителя к другим вакцинам </w:t>
      </w:r>
      <w:proofErr w:type="spellStart"/>
      <w:r w:rsidRPr="00940E1B">
        <w:rPr>
          <w:color w:val="595959" w:themeColor="text1" w:themeTint="A6"/>
        </w:rPr>
        <w:t>Нобивак</w:t>
      </w:r>
      <w:proofErr w:type="spellEnd"/>
      <w:r w:rsidRPr="00940E1B">
        <w:rPr>
          <w:color w:val="595959" w:themeColor="text1" w:themeTint="A6"/>
        </w:rPr>
        <w:t xml:space="preserve"> </w:t>
      </w:r>
      <w:proofErr w:type="spellStart"/>
      <w:r w:rsidRPr="00940E1B">
        <w:rPr>
          <w:color w:val="595959" w:themeColor="text1" w:themeTint="A6"/>
        </w:rPr>
        <w:t>DHPPi</w:t>
      </w:r>
      <w:proofErr w:type="spellEnd"/>
      <w:r w:rsidRPr="00940E1B">
        <w:rPr>
          <w:color w:val="595959" w:themeColor="text1" w:themeTint="A6"/>
        </w:rPr>
        <w:t xml:space="preserve"> и </w:t>
      </w:r>
      <w:proofErr w:type="spellStart"/>
      <w:r w:rsidRPr="00940E1B">
        <w:rPr>
          <w:color w:val="595959" w:themeColor="text1" w:themeTint="A6"/>
        </w:rPr>
        <w:t>Нобивак</w:t>
      </w:r>
      <w:proofErr w:type="spellEnd"/>
      <w:r w:rsidRPr="00940E1B">
        <w:rPr>
          <w:color w:val="595959" w:themeColor="text1" w:themeTint="A6"/>
        </w:rPr>
        <w:t xml:space="preserve"> DHP.</w:t>
      </w:r>
    </w:p>
    <w:p w:rsidR="0058394C" w:rsidRPr="00940E1B" w:rsidRDefault="0058394C">
      <w:pPr>
        <w:pStyle w:val="Textbody"/>
        <w:spacing w:after="0" w:line="360" w:lineRule="auto"/>
        <w:jc w:val="both"/>
        <w:rPr>
          <w:color w:val="595959" w:themeColor="text1" w:themeTint="A6"/>
        </w:rPr>
      </w:pPr>
    </w:p>
    <w:p w:rsidR="0058394C" w:rsidRPr="00940E1B" w:rsidRDefault="00E46AD7">
      <w:pPr>
        <w:pStyle w:val="Textbody"/>
        <w:spacing w:after="0" w:line="360" w:lineRule="auto"/>
        <w:jc w:val="both"/>
        <w:rPr>
          <w:color w:val="595959" w:themeColor="text1" w:themeTint="A6"/>
        </w:rPr>
      </w:pPr>
      <w:r w:rsidRPr="00940E1B">
        <w:rPr>
          <w:rStyle w:val="StrongEmphasis"/>
          <w:color w:val="595959" w:themeColor="text1" w:themeTint="A6"/>
        </w:rPr>
        <w:t>ПОБОЧНЫЕ ДЕЙСТВИЯ</w:t>
      </w:r>
    </w:p>
    <w:p w:rsidR="0058394C" w:rsidRPr="00940E1B" w:rsidRDefault="00E46AD7">
      <w:pPr>
        <w:pStyle w:val="Textbody"/>
        <w:spacing w:after="0" w:line="360" w:lineRule="auto"/>
        <w:jc w:val="both"/>
        <w:rPr>
          <w:color w:val="595959" w:themeColor="text1" w:themeTint="A6"/>
        </w:rPr>
      </w:pPr>
      <w:r w:rsidRPr="00940E1B">
        <w:rPr>
          <w:color w:val="595959" w:themeColor="text1" w:themeTint="A6"/>
        </w:rPr>
        <w:t>В очень редких случаях после применения вакцины у гиперчувствительных животных могут наблюдаться аллергические реакции, небольшая отё</w:t>
      </w:r>
      <w:r w:rsidRPr="00940E1B">
        <w:rPr>
          <w:color w:val="595959" w:themeColor="text1" w:themeTint="A6"/>
        </w:rPr>
        <w:t>чность в месте инъекции, которые самопроизвольно исчезают в течение 1 – 2 недель и не требуют дополнительного лечения.</w:t>
      </w:r>
    </w:p>
    <w:p w:rsidR="0058394C" w:rsidRPr="00940E1B" w:rsidRDefault="0058394C">
      <w:pPr>
        <w:pStyle w:val="Textbody"/>
        <w:spacing w:after="0" w:line="360" w:lineRule="auto"/>
        <w:jc w:val="both"/>
        <w:rPr>
          <w:color w:val="595959" w:themeColor="text1" w:themeTint="A6"/>
        </w:rPr>
      </w:pPr>
    </w:p>
    <w:p w:rsidR="0058394C" w:rsidRPr="00940E1B" w:rsidRDefault="00E46AD7">
      <w:pPr>
        <w:pStyle w:val="Textbody"/>
        <w:spacing w:after="0" w:line="360" w:lineRule="auto"/>
        <w:jc w:val="both"/>
        <w:rPr>
          <w:color w:val="595959" w:themeColor="text1" w:themeTint="A6"/>
        </w:rPr>
      </w:pPr>
      <w:r w:rsidRPr="00940E1B">
        <w:rPr>
          <w:rStyle w:val="StrongEmphasis"/>
          <w:color w:val="595959" w:themeColor="text1" w:themeTint="A6"/>
        </w:rPr>
        <w:lastRenderedPageBreak/>
        <w:t>ПРОТИВОПОКАЗАНИЯ</w:t>
      </w:r>
    </w:p>
    <w:p w:rsidR="0058394C" w:rsidRPr="00940E1B" w:rsidRDefault="00E46AD7">
      <w:pPr>
        <w:pStyle w:val="Textbody"/>
        <w:spacing w:after="0" w:line="360" w:lineRule="auto"/>
        <w:jc w:val="both"/>
        <w:rPr>
          <w:color w:val="595959" w:themeColor="text1" w:themeTint="A6"/>
        </w:rPr>
      </w:pPr>
      <w:r w:rsidRPr="00940E1B">
        <w:rPr>
          <w:color w:val="595959" w:themeColor="text1" w:themeTint="A6"/>
        </w:rPr>
        <w:t>Вакцинации не подлежат клинически больные животные, суки за 2 недели до и первые 3 недели после родов, а также собаки в</w:t>
      </w:r>
      <w:r w:rsidRPr="00940E1B">
        <w:rPr>
          <w:color w:val="595959" w:themeColor="text1" w:themeTint="A6"/>
        </w:rPr>
        <w:t xml:space="preserve"> течение первых 7 дней после дегельминтизации.</w:t>
      </w:r>
    </w:p>
    <w:p w:rsidR="0058394C" w:rsidRPr="00940E1B" w:rsidRDefault="0058394C">
      <w:pPr>
        <w:pStyle w:val="Textbody"/>
        <w:spacing w:after="0" w:line="360" w:lineRule="auto"/>
        <w:jc w:val="both"/>
        <w:rPr>
          <w:color w:val="595959" w:themeColor="text1" w:themeTint="A6"/>
        </w:rPr>
      </w:pPr>
    </w:p>
    <w:p w:rsidR="0058394C" w:rsidRPr="00940E1B" w:rsidRDefault="00E46AD7">
      <w:pPr>
        <w:pStyle w:val="Textbody"/>
        <w:spacing w:after="0" w:line="360" w:lineRule="auto"/>
        <w:jc w:val="both"/>
        <w:rPr>
          <w:color w:val="595959" w:themeColor="text1" w:themeTint="A6"/>
        </w:rPr>
      </w:pPr>
      <w:r w:rsidRPr="00940E1B">
        <w:rPr>
          <w:rStyle w:val="StrongEmphasis"/>
          <w:color w:val="595959" w:themeColor="text1" w:themeTint="A6"/>
        </w:rPr>
        <w:t>ОСОБЫЕ УКАЗАНИЯ</w:t>
      </w:r>
    </w:p>
    <w:p w:rsidR="0058394C" w:rsidRPr="00940E1B" w:rsidRDefault="00E46AD7">
      <w:pPr>
        <w:pStyle w:val="Textbody"/>
        <w:spacing w:after="0" w:line="360" w:lineRule="auto"/>
        <w:jc w:val="both"/>
        <w:rPr>
          <w:color w:val="595959" w:themeColor="text1" w:themeTint="A6"/>
        </w:rPr>
      </w:pPr>
      <w:r w:rsidRPr="00940E1B">
        <w:rPr>
          <w:color w:val="595959" w:themeColor="text1" w:themeTint="A6"/>
        </w:rPr>
        <w:t>При проведении манипуляций с препаратом следует соблюдать правила асептики, не допускать контаминации вакцины. При попадании вакцины на кожу или слизистые оболочки глаз, её тотчас необходимо с</w:t>
      </w:r>
      <w:r w:rsidRPr="00940E1B">
        <w:rPr>
          <w:color w:val="595959" w:themeColor="text1" w:themeTint="A6"/>
        </w:rPr>
        <w:t>мыть струей воды. По окончании обработки руки следует тщательно вымыть тёплой водой с мылом.</w:t>
      </w:r>
    </w:p>
    <w:p w:rsidR="0058394C" w:rsidRPr="00940E1B" w:rsidRDefault="0058394C">
      <w:pPr>
        <w:pStyle w:val="Textbody"/>
        <w:spacing w:after="0" w:line="360" w:lineRule="auto"/>
        <w:jc w:val="both"/>
        <w:rPr>
          <w:color w:val="595959" w:themeColor="text1" w:themeTint="A6"/>
        </w:rPr>
      </w:pPr>
    </w:p>
    <w:p w:rsidR="0058394C" w:rsidRPr="00940E1B" w:rsidRDefault="00E46AD7">
      <w:pPr>
        <w:pStyle w:val="Textbody"/>
        <w:spacing w:after="0" w:line="360" w:lineRule="auto"/>
        <w:jc w:val="both"/>
        <w:rPr>
          <w:color w:val="595959" w:themeColor="text1" w:themeTint="A6"/>
        </w:rPr>
      </w:pPr>
      <w:r w:rsidRPr="00940E1B">
        <w:rPr>
          <w:rStyle w:val="StrongEmphasis"/>
          <w:color w:val="595959" w:themeColor="text1" w:themeTint="A6"/>
        </w:rPr>
        <w:t>УСЛОВИЯ ХРАНЕНИЯ</w:t>
      </w:r>
    </w:p>
    <w:p w:rsidR="0058394C" w:rsidRPr="00940E1B" w:rsidRDefault="00E46AD7">
      <w:pPr>
        <w:pStyle w:val="Textbody"/>
        <w:spacing w:after="0" w:line="360" w:lineRule="auto"/>
        <w:jc w:val="both"/>
        <w:rPr>
          <w:color w:val="595959" w:themeColor="text1" w:themeTint="A6"/>
        </w:rPr>
      </w:pPr>
      <w:r w:rsidRPr="00940E1B">
        <w:rPr>
          <w:color w:val="595959" w:themeColor="text1" w:themeTint="A6"/>
        </w:rPr>
        <w:t>С предосторожностью. В сухом, прохладном, защищённом от света и недоступном для детей и животных месте при температуре от 2</w:t>
      </w:r>
      <w:proofErr w:type="gramStart"/>
      <w:r w:rsidRPr="00940E1B">
        <w:rPr>
          <w:color w:val="595959" w:themeColor="text1" w:themeTint="A6"/>
        </w:rPr>
        <w:t>°С</w:t>
      </w:r>
      <w:proofErr w:type="gramEnd"/>
      <w:r w:rsidRPr="00940E1B">
        <w:rPr>
          <w:color w:val="595959" w:themeColor="text1" w:themeTint="A6"/>
        </w:rPr>
        <w:t xml:space="preserve"> до 8°С. Не </w:t>
      </w:r>
      <w:r w:rsidRPr="00940E1B">
        <w:rPr>
          <w:color w:val="595959" w:themeColor="text1" w:themeTint="A6"/>
        </w:rPr>
        <w:t>допускается замораживание вакцины. Открытые более 24 ч неиспользованные флаконы подлежат обеззараживанию кипячением в течение 15 минут с последующей утилизацией. Срок годности — 2 года.</w:t>
      </w:r>
    </w:p>
    <w:p w:rsidR="0058394C" w:rsidRPr="00940E1B" w:rsidRDefault="0058394C">
      <w:pPr>
        <w:pStyle w:val="Textbody"/>
        <w:spacing w:after="0" w:line="360" w:lineRule="auto"/>
        <w:jc w:val="both"/>
        <w:rPr>
          <w:color w:val="595959" w:themeColor="text1" w:themeTint="A6"/>
        </w:rPr>
      </w:pPr>
    </w:p>
    <w:p w:rsidR="0058394C" w:rsidRPr="00940E1B" w:rsidRDefault="00E46AD7">
      <w:pPr>
        <w:pStyle w:val="Textbody"/>
        <w:spacing w:after="0" w:line="360" w:lineRule="auto"/>
        <w:jc w:val="both"/>
        <w:rPr>
          <w:color w:val="595959" w:themeColor="text1" w:themeTint="A6"/>
        </w:rPr>
      </w:pPr>
      <w:r w:rsidRPr="00940E1B">
        <w:rPr>
          <w:rStyle w:val="StrongEmphasis"/>
          <w:color w:val="595959" w:themeColor="text1" w:themeTint="A6"/>
        </w:rPr>
        <w:t>ПРОИЗВОДИТЕЛЬ</w:t>
      </w:r>
    </w:p>
    <w:p w:rsidR="0058394C" w:rsidRPr="00940E1B" w:rsidRDefault="00E46AD7">
      <w:pPr>
        <w:pStyle w:val="Textbody"/>
        <w:spacing w:after="0" w:line="360" w:lineRule="auto"/>
        <w:jc w:val="both"/>
        <w:rPr>
          <w:color w:val="595959" w:themeColor="text1" w:themeTint="A6"/>
        </w:rPr>
      </w:pPr>
      <w:proofErr w:type="spellStart"/>
      <w:r w:rsidRPr="00940E1B">
        <w:rPr>
          <w:color w:val="595959" w:themeColor="text1" w:themeTint="A6"/>
        </w:rPr>
        <w:t>Интервет</w:t>
      </w:r>
      <w:proofErr w:type="spellEnd"/>
      <w:r w:rsidRPr="00940E1B">
        <w:rPr>
          <w:color w:val="595959" w:themeColor="text1" w:themeTint="A6"/>
        </w:rPr>
        <w:t xml:space="preserve"> </w:t>
      </w:r>
      <w:proofErr w:type="spellStart"/>
      <w:r w:rsidRPr="00940E1B">
        <w:rPr>
          <w:color w:val="595959" w:themeColor="text1" w:themeTint="A6"/>
        </w:rPr>
        <w:t>Шеринг-Плау</w:t>
      </w:r>
      <w:proofErr w:type="spellEnd"/>
      <w:r w:rsidRPr="00940E1B">
        <w:rPr>
          <w:color w:val="595959" w:themeColor="text1" w:themeTint="A6"/>
        </w:rPr>
        <w:t xml:space="preserve"> </w:t>
      </w:r>
      <w:proofErr w:type="spellStart"/>
      <w:r w:rsidRPr="00940E1B">
        <w:rPr>
          <w:color w:val="595959" w:themeColor="text1" w:themeTint="A6"/>
        </w:rPr>
        <w:t>Энимал</w:t>
      </w:r>
      <w:proofErr w:type="spellEnd"/>
      <w:r w:rsidRPr="00940E1B">
        <w:rPr>
          <w:color w:val="595959" w:themeColor="text1" w:themeTint="A6"/>
        </w:rPr>
        <w:t xml:space="preserve"> </w:t>
      </w:r>
      <w:proofErr w:type="spellStart"/>
      <w:r w:rsidRPr="00940E1B">
        <w:rPr>
          <w:color w:val="595959" w:themeColor="text1" w:themeTint="A6"/>
        </w:rPr>
        <w:t>Хелс</w:t>
      </w:r>
      <w:proofErr w:type="spellEnd"/>
      <w:r w:rsidRPr="00940E1B">
        <w:rPr>
          <w:color w:val="595959" w:themeColor="text1" w:themeTint="A6"/>
        </w:rPr>
        <w:t xml:space="preserve"> (</w:t>
      </w:r>
      <w:proofErr w:type="spellStart"/>
      <w:r w:rsidRPr="00940E1B">
        <w:rPr>
          <w:color w:val="595959" w:themeColor="text1" w:themeTint="A6"/>
        </w:rPr>
        <w:t>Intervet</w:t>
      </w:r>
      <w:proofErr w:type="spellEnd"/>
      <w:r w:rsidRPr="00940E1B">
        <w:rPr>
          <w:color w:val="595959" w:themeColor="text1" w:themeTint="A6"/>
        </w:rPr>
        <w:t xml:space="preserve"> </w:t>
      </w:r>
      <w:proofErr w:type="spellStart"/>
      <w:r w:rsidRPr="00940E1B">
        <w:rPr>
          <w:color w:val="595959" w:themeColor="text1" w:themeTint="A6"/>
        </w:rPr>
        <w:t>Schering-Plo</w:t>
      </w:r>
      <w:r w:rsidRPr="00940E1B">
        <w:rPr>
          <w:color w:val="595959" w:themeColor="text1" w:themeTint="A6"/>
        </w:rPr>
        <w:t>ugh</w:t>
      </w:r>
      <w:proofErr w:type="spellEnd"/>
      <w:r w:rsidRPr="00940E1B">
        <w:rPr>
          <w:color w:val="595959" w:themeColor="text1" w:themeTint="A6"/>
        </w:rPr>
        <w:t xml:space="preserve"> </w:t>
      </w:r>
      <w:proofErr w:type="spellStart"/>
      <w:r w:rsidRPr="00940E1B">
        <w:rPr>
          <w:color w:val="595959" w:themeColor="text1" w:themeTint="A6"/>
        </w:rPr>
        <w:t>Animal</w:t>
      </w:r>
      <w:proofErr w:type="spellEnd"/>
      <w:r w:rsidRPr="00940E1B">
        <w:rPr>
          <w:color w:val="595959" w:themeColor="text1" w:themeTint="A6"/>
        </w:rPr>
        <w:t xml:space="preserve"> </w:t>
      </w:r>
      <w:proofErr w:type="spellStart"/>
      <w:r w:rsidRPr="00940E1B">
        <w:rPr>
          <w:color w:val="595959" w:themeColor="text1" w:themeTint="A6"/>
        </w:rPr>
        <w:t>Health</w:t>
      </w:r>
      <w:proofErr w:type="spellEnd"/>
      <w:r w:rsidRPr="00940E1B">
        <w:rPr>
          <w:color w:val="595959" w:themeColor="text1" w:themeTint="A6"/>
        </w:rPr>
        <w:t>), Нидерланды.</w:t>
      </w:r>
    </w:p>
    <w:p w:rsidR="0058394C" w:rsidRPr="00940E1B" w:rsidRDefault="0058394C">
      <w:pPr>
        <w:pStyle w:val="Standard"/>
        <w:spacing w:line="360" w:lineRule="auto"/>
        <w:jc w:val="both"/>
        <w:rPr>
          <w:color w:val="595959" w:themeColor="text1" w:themeTint="A6"/>
        </w:rPr>
      </w:pPr>
    </w:p>
    <w:sectPr w:rsidR="0058394C" w:rsidRPr="00940E1B" w:rsidSect="0058394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AD7" w:rsidRDefault="00E46AD7" w:rsidP="0058394C">
      <w:r>
        <w:separator/>
      </w:r>
    </w:p>
  </w:endnote>
  <w:endnote w:type="continuationSeparator" w:id="0">
    <w:p w:rsidR="00E46AD7" w:rsidRDefault="00E46AD7" w:rsidP="00583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AD7" w:rsidRDefault="00E46AD7" w:rsidP="0058394C">
      <w:r w:rsidRPr="0058394C">
        <w:rPr>
          <w:color w:val="000000"/>
        </w:rPr>
        <w:separator/>
      </w:r>
    </w:p>
  </w:footnote>
  <w:footnote w:type="continuationSeparator" w:id="0">
    <w:p w:rsidR="00E46AD7" w:rsidRDefault="00E46AD7" w:rsidP="005839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94C"/>
    <w:rsid w:val="0058394C"/>
    <w:rsid w:val="00940E1B"/>
    <w:rsid w:val="00E4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394C"/>
  </w:style>
  <w:style w:type="paragraph" w:customStyle="1" w:styleId="Heading">
    <w:name w:val="Heading"/>
    <w:basedOn w:val="Standard"/>
    <w:next w:val="Textbody"/>
    <w:rsid w:val="0058394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58394C"/>
    <w:pPr>
      <w:spacing w:after="120"/>
    </w:pPr>
  </w:style>
  <w:style w:type="paragraph" w:styleId="a3">
    <w:name w:val="List"/>
    <w:basedOn w:val="Textbody"/>
    <w:rsid w:val="0058394C"/>
  </w:style>
  <w:style w:type="paragraph" w:customStyle="1" w:styleId="Caption">
    <w:name w:val="Caption"/>
    <w:basedOn w:val="Standard"/>
    <w:rsid w:val="0058394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8394C"/>
    <w:pPr>
      <w:suppressLineNumbers/>
    </w:pPr>
  </w:style>
  <w:style w:type="character" w:customStyle="1" w:styleId="StrongEmphasis">
    <w:name w:val="Strong Emphasis"/>
    <w:rsid w:val="0058394C"/>
    <w:rPr>
      <w:b/>
      <w:bCs/>
    </w:rPr>
  </w:style>
  <w:style w:type="character" w:styleId="a4">
    <w:name w:val="Emphasis"/>
    <w:rsid w:val="005839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2359</Characters>
  <Application>Microsoft Office Word</Application>
  <DocSecurity>0</DocSecurity>
  <Lines>19</Lines>
  <Paragraphs>5</Paragraphs>
  <ScaleCrop>false</ScaleCrop>
  <Company>Krokoz™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Palchikova</dc:creator>
  <cp:lastModifiedBy>Таня</cp:lastModifiedBy>
  <cp:revision>1</cp:revision>
  <dcterms:created xsi:type="dcterms:W3CDTF">2012-03-12T20:39:00Z</dcterms:created>
  <dcterms:modified xsi:type="dcterms:W3CDTF">2013-03-04T14:39:00Z</dcterms:modified>
</cp:coreProperties>
</file>